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长城小标宋体" w:eastAsia="方正小标宋简体" w:cs="长城小标宋体"/>
          <w:sz w:val="44"/>
          <w:szCs w:val="44"/>
          <w:lang w:val="en-US" w:eastAsia="zh-CN"/>
        </w:rPr>
      </w:pPr>
      <w:r>
        <w:rPr>
          <w:rFonts w:hint="eastAsia" w:ascii="方正小标宋简体" w:hAnsi="长城小标宋体" w:eastAsia="方正小标宋简体" w:cs="长城小标宋体"/>
          <w:sz w:val="44"/>
          <w:szCs w:val="44"/>
          <w:lang w:val="en-US" w:eastAsia="zh-CN"/>
        </w:rPr>
        <w:t>“雅舍扶人心，室友共和睦”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长城小标宋体" w:eastAsia="方正小标宋简体" w:cs="长城小标宋体"/>
          <w:sz w:val="44"/>
          <w:szCs w:val="44"/>
        </w:rPr>
      </w:pPr>
      <w:r>
        <w:rPr>
          <w:rFonts w:hint="eastAsia" w:ascii="方正小标宋简体" w:hAnsi="长城小标宋体" w:eastAsia="方正小标宋简体" w:cs="长城小标宋体"/>
          <w:sz w:val="44"/>
          <w:szCs w:val="44"/>
          <w:lang w:val="en-US" w:eastAsia="zh-CN"/>
        </w:rPr>
        <w:t>文明寝室评比活动</w:t>
      </w:r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实施方案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长城小标宋体" w:eastAsia="仿宋_GB2312" w:cs="长城小标宋体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为了培养学生以“舍”为家意识，进一步提升学生自我管理能力，持续有效地推进寝室精神文明建设，学校决定举办20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“雅舍扶人心，室友共和睦”</w:t>
      </w:r>
      <w:r>
        <w:rPr>
          <w:rFonts w:hint="eastAsia" w:ascii="仿宋_GB2312" w:hAnsi="仿宋" w:eastAsia="仿宋_GB2312" w:cs="仿宋"/>
          <w:sz w:val="32"/>
          <w:szCs w:val="32"/>
        </w:rPr>
        <w:t>文明寝室评比活动，具体方案如下：</w:t>
      </w:r>
    </w:p>
    <w:p>
      <w:pPr>
        <w:spacing w:beforeLines="50" w:afterLines="50"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一、评比范围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级、201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级和20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全体</w:t>
      </w:r>
      <w:r>
        <w:rPr>
          <w:rFonts w:hint="eastAsia" w:ascii="仿宋_GB2312" w:hAnsi="仿宋" w:eastAsia="仿宋_GB2312" w:cs="仿宋"/>
          <w:sz w:val="32"/>
          <w:szCs w:val="32"/>
        </w:rPr>
        <w:t>本科生寝室</w:t>
      </w:r>
    </w:p>
    <w:p>
      <w:pPr>
        <w:spacing w:beforeLines="50" w:afterLines="50"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二、评比目的 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培育和践行社会主义核心价值观，建设纪念青春、刻画成长、传承情怀的寝室文化育人平台。夯实学生寝室精神文明建设，促进良好学风、校风的形成与发展，增强学生的集体荣誉感。</w:t>
      </w:r>
    </w:p>
    <w:p>
      <w:pPr>
        <w:spacing w:beforeLines="50" w:afterLines="50"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三、评比标准 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文明寝室评比从四个方面进行，包括寝室文明、内务整洁、遵章守纪和活动参与情况。具体说明如下：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1.寝室文明：言行得体，文明礼让，尊重他人，团结友善。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2.内务整洁：寝室日常卫生状况良好，在学生工作处组织的日常寝室卫生不定期抽查时，各次成绩均在90分以上（含90分）。寝室整洁、无杂物占堵消防通道、无杂物堆置阳台等。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3.遵章守纪：严格遵守校规校纪。寝室无存放或使用违规器具情况，成员无吸烟及喝酒、晚归及夜不归寝等情况，在寝室生活区无散发、张贴校外海报和广告等不文明行为，树立当代大学生良好形象。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4.活动参与情况：各学院依据学生在本次寝室文化活动中的参与度与活跃度，酌情加分。</w:t>
      </w:r>
    </w:p>
    <w:p>
      <w:pPr>
        <w:spacing w:beforeLines="50" w:afterLines="50"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四、评比安排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文明寝室评选由各学院根据日常各项检查结果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仿宋"/>
          <w:sz w:val="32"/>
          <w:szCs w:val="32"/>
        </w:rPr>
        <w:t>寝室文化活动参与情况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对所有寝室进行考核评比，考核标准具体指标由各学院根据评比标准和实际情况自行制定，评选出“文明寝室”，其数量不超过学院201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级、201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级和20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级学生寝室总数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10%，学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校</w:t>
      </w:r>
      <w:r>
        <w:rPr>
          <w:rFonts w:hint="eastAsia" w:ascii="仿宋_GB2312" w:hAnsi="仿宋" w:eastAsia="仿宋_GB2312" w:cs="仿宋"/>
          <w:sz w:val="32"/>
          <w:szCs w:val="32"/>
        </w:rPr>
        <w:t>将进行审核，并对结果进行公示。</w:t>
      </w:r>
    </w:p>
    <w:p>
      <w:pPr>
        <w:spacing w:beforeLines="50" w:afterLines="50"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五、工作要求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1.参评寝室卫生检查结果有一次未能达到90分（含90分），取消参评资格。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2.“文明寝室”评比成绩纳入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 w:cs="仿宋"/>
          <w:sz w:val="32"/>
          <w:szCs w:val="32"/>
        </w:rPr>
        <w:t>-202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学年学生综合素质测评思想品德测评。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lef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3.参加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 w:cs="仿宋"/>
          <w:sz w:val="32"/>
          <w:szCs w:val="32"/>
        </w:rPr>
        <w:t>年党员先锋寝室评选的寝室，不参与“文明寝室”评比。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请</w:t>
      </w:r>
      <w:r>
        <w:rPr>
          <w:rFonts w:hint="eastAsia" w:ascii="仿宋_GB2312" w:hAnsi="仿宋" w:eastAsia="仿宋_GB2312" w:cs="仿宋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学院</w:t>
      </w:r>
      <w:r>
        <w:rPr>
          <w:rFonts w:hint="eastAsia" w:ascii="仿宋_GB2312" w:hAnsi="仿宋" w:eastAsia="仿宋_GB2312" w:cs="仿宋"/>
          <w:sz w:val="32"/>
          <w:szCs w:val="32"/>
        </w:rPr>
        <w:t>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***学院“雅舍扶人心，室友共和睦”</w:t>
      </w:r>
      <w:r>
        <w:rPr>
          <w:rFonts w:hint="eastAsia" w:ascii="仿宋_GB2312" w:hAnsi="仿宋" w:eastAsia="仿宋_GB2312" w:cs="仿宋"/>
          <w:sz w:val="32"/>
          <w:szCs w:val="32"/>
        </w:rPr>
        <w:t>文明寝室评比汇总表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仿宋"/>
          <w:sz w:val="32"/>
          <w:szCs w:val="32"/>
        </w:rPr>
        <w:t>（表3）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于</w:t>
      </w: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报送学生工作处教育管理科。</w:t>
      </w:r>
    </w:p>
    <w:p>
      <w:pPr>
        <w:spacing w:line="560" w:lineRule="atLeas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于欢           </w:t>
      </w: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84762678</w:t>
      </w:r>
    </w:p>
    <w:p>
      <w:pPr>
        <w:spacing w:line="560" w:lineRule="atLeast"/>
        <w:ind w:right="480" w:firstLine="640" w:firstLineChars="200"/>
        <w:jc w:val="both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表3：***学院“雅舍扶人心，室友共和睦”</w:t>
      </w:r>
      <w:r>
        <w:rPr>
          <w:rFonts w:hint="eastAsia" w:ascii="仿宋_GB2312" w:hAnsi="仿宋" w:eastAsia="仿宋_GB2312" w:cs="仿宋"/>
          <w:sz w:val="32"/>
          <w:szCs w:val="32"/>
        </w:rPr>
        <w:t>文明寝室评比汇总表</w:t>
      </w:r>
    </w:p>
    <w:p>
      <w:pPr>
        <w:spacing w:line="560" w:lineRule="atLeast"/>
        <w:ind w:right="48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atLeast"/>
        <w:ind w:right="48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atLeast"/>
        <w:ind w:right="48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atLeast"/>
        <w:ind w:right="48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jc w:val="left"/>
        <w:rPr>
          <w:rFonts w:hint="eastAsia" w:ascii="仿宋_GB2312" w:hAnsi="长城小标宋体" w:eastAsia="仿宋_GB2312" w:cs="长城小标宋体"/>
          <w:sz w:val="30"/>
          <w:szCs w:val="30"/>
        </w:rPr>
      </w:pPr>
      <w:r>
        <w:rPr>
          <w:rFonts w:hint="eastAsia" w:ascii="仿宋_GB2312" w:hAnsi="长城小标宋体" w:eastAsia="仿宋_GB2312" w:cs="长城小标宋体"/>
          <w:sz w:val="30"/>
          <w:szCs w:val="30"/>
        </w:rPr>
        <w:br w:type="page"/>
      </w:r>
      <w:r>
        <w:rPr>
          <w:rFonts w:hint="eastAsia" w:ascii="仿宋_GB2312" w:hAnsi="长城小标宋体" w:eastAsia="仿宋_GB2312" w:cs="长城小标宋体"/>
          <w:sz w:val="30"/>
          <w:szCs w:val="30"/>
        </w:rPr>
        <w:t>表3：</w:t>
      </w:r>
    </w:p>
    <w:p>
      <w:pPr>
        <w:spacing w:line="520" w:lineRule="exact"/>
        <w:rPr>
          <w:rFonts w:hint="eastAsia" w:ascii="长城小标宋体" w:hAnsi="长城小标宋体" w:cs="长城小标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***学院“雅舍扶人心，室友共和睦”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文明寝室评比汇总表</w:t>
      </w:r>
    </w:p>
    <w:p>
      <w:pPr>
        <w:spacing w:line="520" w:lineRule="exact"/>
        <w:jc w:val="center"/>
        <w:rPr>
          <w:rFonts w:hint="eastAsia" w:ascii="方正小标宋简体" w:hAnsi="长城小标宋体" w:eastAsia="方正小标宋简体" w:cs="长城小标宋体"/>
          <w:sz w:val="44"/>
          <w:szCs w:val="44"/>
        </w:rPr>
      </w:pPr>
    </w:p>
    <w:tbl>
      <w:tblPr>
        <w:tblStyle w:val="3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19"/>
        <w:gridCol w:w="793"/>
        <w:gridCol w:w="1985"/>
        <w:gridCol w:w="846"/>
        <w:gridCol w:w="996"/>
        <w:gridCol w:w="699"/>
        <w:gridCol w:w="719"/>
        <w:gridCol w:w="709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寝室成员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地点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寝室号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寝室文明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遵章守纪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检查成绩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活动参与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 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与生命学院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养殖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17-1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张某、王某、李某、赵某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公寓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1-815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Arial" w:hAnsi="Arial" w:eastAsia="仿宋" w:cs="Arial"/>
                <w:sz w:val="24"/>
              </w:rPr>
              <w:t>自评通过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仿宋" w:cs="Arial"/>
                <w:sz w:val="24"/>
              </w:rPr>
              <w:t>自评通过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仿宋" w:cs="Arial"/>
                <w:sz w:val="24"/>
              </w:rPr>
              <w:t>92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</w:rPr>
        <w:t>注：住宿地点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校内、公寓、渤海。</w:t>
      </w:r>
    </w:p>
    <w:p/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800E0"/>
    <w:rsid w:val="4DE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2020-10-29T02:59:00Z</dcterms:created>
  <dc:creator>Administrator</dc:creator>
  <cp:lastModifiedBy>纳赛尔丁</cp:lastModifiedBy>
  <dcterms:modified xsi:type="dcterms:W3CDTF">2020-10-29T03:16:11Z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